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364197.xml.htm"/>
      <w:bookmarkStart w:id="1" w:name="kswkform4_178836419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Bojarski Olivier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6555 W. GOOD HOPE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MILWAUKEE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53223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BRADY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BRC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Americas &amp; Asia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970"/>
        <w:gridCol w:w="451"/>
        <w:gridCol w:w="752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11,666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47,623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5,483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90.69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42,140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stock units which vested upon achievement of certain financial performance goals over a three-year period. Each restricted stock unit was settled solely by delivery of one share of Class A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shares withheld to cover taxes on 11,666 restricted stock units that vested on September 1,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Heidi Knueppel,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98992" TargetMode="External"/><Relationship Id="rId5" Type="http://schemas.openxmlformats.org/officeDocument/2006/relationships/hyperlink" Target="http://www.sec.gov/cgi-bin/browse-edgar?action=getcompany&amp;CIK=000074659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629</Words>
  <Characters>3412</Characters>
  <CharactersWithSpaces>3964</CharactersWithSpaces>
  <Paragraphs>105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