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5998.xml.htm"/>
      <w:bookmarkStart w:id="1" w:name="kswkform4_17858659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DeBruine Thomas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 GOOD HOPE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11,266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 one year subsequent to the grant date. Upon vesting, each restricted stock unit will be settled solely by delivery of one share of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977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3239</Characters>
  <CharactersWithSpaces>3770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