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5849.xml.htm"/>
      <w:bookmarkStart w:id="1" w:name="kswkform4_17858658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Thornton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30,514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 one year subsequent to the grant date. Upon vesting, each restricted stock unit will be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606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3228</Characters>
  <CharactersWithSpaces>3758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