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5331.xml.htm"/>
      <w:bookmarkStart w:id="1" w:name="kswkform4_17912253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Michelle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W RITTENHOUSE SQUARE, UNIT 12D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0"/>
        <w:gridCol w:w="944"/>
        <w:gridCol w:w="811"/>
        <w:gridCol w:w="626"/>
        <w:gridCol w:w="345"/>
        <w:gridCol w:w="869"/>
        <w:gridCol w:w="419"/>
        <w:gridCol w:w="656"/>
        <w:gridCol w:w="1123"/>
        <w:gridCol w:w="975"/>
        <w:gridCol w:w="15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21,905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Compensation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owner acquired 1,878 unrestricted shares of Class A Common Stock as compensation for their services as a member of the Board of Directors. Reporting owner has elected to defer the stock into her Brady Corporation Deferred Compensation account.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664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3316</Characters>
  <CharactersWithSpaces>3853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